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DD01" w14:textId="77777777" w:rsidR="00AC2670" w:rsidRDefault="00AC2670" w:rsidP="00AC2670">
      <w:pPr>
        <w:snapToGrid w:val="0"/>
        <w:jc w:val="left"/>
        <w:rPr>
          <w:rFonts w:ascii="メイリオ" w:eastAsia="メイリオ" w:hAnsi="メイリオ"/>
          <w:b/>
          <w:bCs/>
          <w:sz w:val="28"/>
          <w:szCs w:val="28"/>
        </w:rPr>
      </w:pPr>
      <w:r>
        <w:rPr>
          <w:rFonts w:ascii="メイリオ" w:eastAsia="メイリオ" w:hAnsi="メイリオ"/>
          <w:b/>
          <w:bCs/>
          <w:noProof/>
          <w:sz w:val="28"/>
          <w:szCs w:val="28"/>
        </w:rPr>
        <mc:AlternateContent>
          <mc:Choice Requires="wps">
            <w:drawing>
              <wp:anchor distT="0" distB="0" distL="114300" distR="114300" simplePos="0" relativeHeight="251659264" behindDoc="0" locked="0" layoutInCell="1" allowOverlap="1" wp14:anchorId="6205ACC5" wp14:editId="07777777">
                <wp:simplePos x="0" y="0"/>
                <wp:positionH relativeFrom="column">
                  <wp:posOffset>5002530</wp:posOffset>
                </wp:positionH>
                <wp:positionV relativeFrom="paragraph">
                  <wp:posOffset>-219075</wp:posOffset>
                </wp:positionV>
                <wp:extent cx="1404000" cy="396000"/>
                <wp:effectExtent l="0" t="0" r="24765" b="23495"/>
                <wp:wrapNone/>
                <wp:docPr id="1" name="テキスト ボックス 1"/>
                <wp:cNvGraphicFramePr/>
                <a:graphic xmlns:a="http://schemas.openxmlformats.org/drawingml/2006/main">
                  <a:graphicData uri="http://schemas.microsoft.com/office/word/2010/wordprocessingShape">
                    <wps:wsp>
                      <wps:cNvSpPr txBox="1"/>
                      <wps:spPr>
                        <a:xfrm>
                          <a:off x="0" y="0"/>
                          <a:ext cx="1404000" cy="396000"/>
                        </a:xfrm>
                        <a:prstGeom prst="rect">
                          <a:avLst/>
                        </a:prstGeom>
                        <a:solidFill>
                          <a:srgbClr val="C00000"/>
                        </a:solidFill>
                        <a:ln w="6350">
                          <a:solidFill>
                            <a:prstClr val="black"/>
                          </a:solidFill>
                        </a:ln>
                      </wps:spPr>
                      <wps:txbx>
                        <w:txbxContent>
                          <w:p w14:paraId="7A29266C" w14:textId="77777777" w:rsidR="00AC2670" w:rsidRPr="00AC2670" w:rsidRDefault="00AC2670" w:rsidP="00AC2670">
                            <w:pPr>
                              <w:spacing w:line="400" w:lineRule="exact"/>
                              <w:jc w:val="center"/>
                              <w:rPr>
                                <w:rFonts w:ascii="メイリオ" w:eastAsia="メイリオ" w:hAnsi="メイリオ"/>
                                <w:b/>
                                <w:sz w:val="24"/>
                                <w:szCs w:val="24"/>
                              </w:rPr>
                            </w:pPr>
                            <w:r w:rsidRPr="00AC2670">
                              <w:rPr>
                                <w:rFonts w:ascii="メイリオ" w:eastAsia="メイリオ" w:hAnsi="メイリオ" w:hint="eastAsia"/>
                                <w:b/>
                                <w:sz w:val="24"/>
                                <w:szCs w:val="24"/>
                              </w:rPr>
                              <w:t>給付</w:t>
                            </w:r>
                            <w:r w:rsidRPr="00AC2670">
                              <w:rPr>
                                <w:rFonts w:ascii="メイリオ" w:eastAsia="メイリオ" w:hAnsi="メイリオ"/>
                                <w:b/>
                                <w:sz w:val="24"/>
                                <w:szCs w:val="24"/>
                              </w:rPr>
                              <w:t>（</w:t>
                            </w:r>
                            <w:r w:rsidRPr="00AC2670">
                              <w:rPr>
                                <w:rFonts w:ascii="メイリオ" w:eastAsia="メイリオ" w:hAnsi="メイリオ" w:hint="eastAsia"/>
                                <w:b/>
                                <w:sz w:val="24"/>
                                <w:szCs w:val="24"/>
                              </w:rPr>
                              <w:t>新制度</w:t>
                            </w:r>
                            <w:r w:rsidRPr="00AC2670">
                              <w:rPr>
                                <w:rFonts w:ascii="メイリオ" w:eastAsia="メイリオ" w:hAnsi="メイリオ"/>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11D6123">
              <v:shapetype id="_x0000_t202" coordsize="21600,21600" o:spt="202" path="m,l,21600r21600,l21600,xe">
                <v:stroke joinstyle="miter"/>
                <v:path gradientshapeok="t" o:connecttype="rect"/>
              </v:shapetype>
              <v:shape id="テキスト ボックス 1" style="position:absolute;margin-left:393.9pt;margin-top:-17.25pt;width:110.5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c0000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">
                <v:textbox>
                  <w:txbxContent>
                    <w:p w:rsidRPr="00AC2670" w:rsidR="00AC2670" w:rsidP="00AC2670" w:rsidRDefault="00AC2670" w14:paraId="0E881891" wp14:textId="77777777">
                      <w:pPr>
                        <w:spacing w:line="400" w:lineRule="exact"/>
                        <w:jc w:val="center"/>
                        <w:rPr>
                          <w:rFonts w:hint="eastAsia" w:ascii="メイリオ" w:hAnsi="メイリオ" w:eastAsia="メイリオ"/>
                          <w:b/>
                          <w:sz w:val="24"/>
                          <w:szCs w:val="24"/>
                        </w:rPr>
                      </w:pPr>
                      <w:r w:rsidRPr="00AC2670">
                        <w:rPr>
                          <w:rFonts w:hint="eastAsia" w:ascii="メイリオ" w:hAnsi="メイリオ" w:eastAsia="メイリオ"/>
                          <w:b/>
                          <w:sz w:val="24"/>
                          <w:szCs w:val="24"/>
                        </w:rPr>
                        <w:t>給付</w:t>
                      </w:r>
                      <w:r w:rsidRPr="00AC2670">
                        <w:rPr>
                          <w:rFonts w:ascii="メイリオ" w:hAnsi="メイリオ" w:eastAsia="メイリオ"/>
                          <w:b/>
                          <w:sz w:val="24"/>
                          <w:szCs w:val="24"/>
                        </w:rPr>
                        <w:t>（</w:t>
                      </w:r>
                      <w:r w:rsidRPr="00AC2670">
                        <w:rPr>
                          <w:rFonts w:hint="eastAsia" w:ascii="メイリオ" w:hAnsi="メイリオ" w:eastAsia="メイリオ"/>
                          <w:b/>
                          <w:sz w:val="24"/>
                          <w:szCs w:val="24"/>
                        </w:rPr>
                        <w:t>新制度</w:t>
                      </w:r>
                      <w:r w:rsidRPr="00AC2670">
                        <w:rPr>
                          <w:rFonts w:ascii="メイリオ" w:hAnsi="メイリオ" w:eastAsia="メイリオ"/>
                          <w:b/>
                          <w:sz w:val="24"/>
                          <w:szCs w:val="24"/>
                        </w:rPr>
                        <w:t>）</w:t>
                      </w:r>
                    </w:p>
                  </w:txbxContent>
                </v:textbox>
              </v:shape>
            </w:pict>
          </mc:Fallback>
        </mc:AlternateContent>
      </w:r>
    </w:p>
    <w:p w14:paraId="2D20AACF" w14:textId="37FB668A" w:rsidR="0052567B" w:rsidRPr="009E7206" w:rsidRDefault="0052567B" w:rsidP="17196E6E">
      <w:pPr>
        <w:snapToGrid w:val="0"/>
        <w:jc w:val="left"/>
        <w:rPr>
          <w:rFonts w:ascii="メイリオ" w:eastAsia="メイリオ" w:hAnsi="メイリオ"/>
          <w:b/>
          <w:bCs/>
          <w:sz w:val="28"/>
          <w:szCs w:val="28"/>
        </w:rPr>
      </w:pPr>
      <w:r w:rsidRPr="17196E6E">
        <w:rPr>
          <w:rFonts w:ascii="メイリオ" w:eastAsia="メイリオ" w:hAnsi="メイリオ"/>
          <w:b/>
          <w:bCs/>
          <w:sz w:val="28"/>
          <w:szCs w:val="28"/>
        </w:rPr>
        <w:t>2</w:t>
      </w:r>
      <w:r w:rsidR="00DC31FD" w:rsidRPr="17196E6E">
        <w:rPr>
          <w:rFonts w:ascii="メイリオ" w:eastAsia="メイリオ" w:hAnsi="メイリオ"/>
          <w:b/>
          <w:bCs/>
          <w:sz w:val="28"/>
          <w:szCs w:val="28"/>
        </w:rPr>
        <w:t>02</w:t>
      </w:r>
      <w:r w:rsidR="004D4665">
        <w:rPr>
          <w:rFonts w:ascii="メイリオ" w:eastAsia="メイリオ" w:hAnsi="メイリオ" w:hint="eastAsia"/>
          <w:b/>
          <w:bCs/>
          <w:sz w:val="28"/>
          <w:szCs w:val="28"/>
        </w:rPr>
        <w:t>2</w:t>
      </w:r>
      <w:r w:rsidRPr="17196E6E">
        <w:rPr>
          <w:rFonts w:ascii="メイリオ" w:eastAsia="メイリオ" w:hAnsi="メイリオ"/>
          <w:b/>
          <w:bCs/>
          <w:sz w:val="28"/>
          <w:szCs w:val="28"/>
        </w:rPr>
        <w:t>年度</w:t>
      </w:r>
      <w:r w:rsidR="004C1B30" w:rsidRPr="17196E6E">
        <w:rPr>
          <w:rFonts w:ascii="メイリオ" w:eastAsia="メイリオ" w:hAnsi="メイリオ"/>
          <w:b/>
          <w:bCs/>
          <w:sz w:val="28"/>
          <w:szCs w:val="28"/>
        </w:rPr>
        <w:t xml:space="preserve">　JASSO</w:t>
      </w:r>
      <w:r w:rsidR="00AC2670" w:rsidRPr="17196E6E">
        <w:rPr>
          <w:rFonts w:ascii="メイリオ" w:eastAsia="メイリオ" w:hAnsi="メイリオ"/>
          <w:b/>
          <w:bCs/>
          <w:sz w:val="28"/>
          <w:szCs w:val="28"/>
        </w:rPr>
        <w:t>給付奨学金</w:t>
      </w:r>
      <w:r w:rsidR="000E7EA2" w:rsidRPr="17196E6E">
        <w:rPr>
          <w:rFonts w:ascii="メイリオ" w:eastAsia="メイリオ" w:hAnsi="メイリオ"/>
          <w:b/>
          <w:bCs/>
          <w:sz w:val="28"/>
          <w:szCs w:val="28"/>
        </w:rPr>
        <w:t>「</w:t>
      </w:r>
      <w:r w:rsidRPr="17196E6E">
        <w:rPr>
          <w:rFonts w:ascii="メイリオ" w:eastAsia="メイリオ" w:hAnsi="メイリオ"/>
          <w:b/>
          <w:bCs/>
          <w:sz w:val="28"/>
          <w:szCs w:val="28"/>
        </w:rPr>
        <w:t>継続願</w:t>
      </w:r>
      <w:r w:rsidR="000E7EA2" w:rsidRPr="17196E6E">
        <w:rPr>
          <w:rFonts w:ascii="メイリオ" w:eastAsia="メイリオ" w:hAnsi="メイリオ"/>
          <w:b/>
          <w:bCs/>
          <w:sz w:val="28"/>
          <w:szCs w:val="28"/>
        </w:rPr>
        <w:t>」</w:t>
      </w:r>
      <w:r w:rsidR="004C1B30" w:rsidRPr="17196E6E">
        <w:rPr>
          <w:rFonts w:ascii="メイリオ" w:eastAsia="メイリオ" w:hAnsi="メイリオ"/>
          <w:b/>
          <w:bCs/>
          <w:sz w:val="28"/>
          <w:szCs w:val="28"/>
        </w:rPr>
        <w:t>入力</w:t>
      </w:r>
      <w:r w:rsidRPr="17196E6E">
        <w:rPr>
          <w:rFonts w:ascii="メイリオ" w:eastAsia="メイリオ" w:hAnsi="メイリオ"/>
          <w:b/>
          <w:bCs/>
          <w:sz w:val="28"/>
          <w:szCs w:val="28"/>
        </w:rPr>
        <w:t>手続における注意事項</w:t>
      </w:r>
    </w:p>
    <w:p w14:paraId="0A37501D" w14:textId="77777777" w:rsidR="0052567B" w:rsidRPr="000E7EA2" w:rsidRDefault="0052567B" w:rsidP="17196E6E">
      <w:pPr>
        <w:snapToGrid w:val="0"/>
        <w:rPr>
          <w:rFonts w:ascii="メイリオ" w:eastAsia="メイリオ" w:hAnsi="メイリオ"/>
          <w:sz w:val="12"/>
          <w:szCs w:val="12"/>
        </w:rPr>
      </w:pPr>
    </w:p>
    <w:p w14:paraId="5D5FDD69" w14:textId="77777777" w:rsidR="0052567B" w:rsidRPr="004F62AB" w:rsidRDefault="0005202C"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Pr>
          <w:rFonts w:ascii="メイリオ" w:eastAsia="メイリオ" w:hAnsi="メイリオ" w:hint="eastAsia"/>
          <w:b/>
        </w:rPr>
        <w:t>給付奨学金 継続希望の確認について&lt;C-あなたの個人情報</w:t>
      </w:r>
      <w:r w:rsidR="0052567B" w:rsidRPr="004F62AB">
        <w:rPr>
          <w:rFonts w:ascii="メイリオ" w:eastAsia="メイリオ" w:hAnsi="メイリオ" w:hint="eastAsia"/>
          <w:b/>
        </w:rPr>
        <w:t>&gt;</w:t>
      </w:r>
    </w:p>
    <w:p w14:paraId="088EF0D4" w14:textId="77777777" w:rsidR="0005202C" w:rsidRDefault="0005202C" w:rsidP="0005202C">
      <w:pPr>
        <w:snapToGrid w:val="0"/>
        <w:ind w:firstLineChars="100" w:firstLine="210"/>
        <w:rPr>
          <w:rFonts w:ascii="メイリオ" w:eastAsia="メイリオ" w:hAnsi="メイリオ"/>
        </w:rPr>
      </w:pPr>
      <w:r w:rsidRPr="00FF589C">
        <w:rPr>
          <w:rFonts w:ascii="メイリオ" w:eastAsia="メイリオ" w:hAnsi="メイリオ" w:hint="eastAsia"/>
        </w:rPr>
        <w:t>現在、</w:t>
      </w:r>
      <w:r w:rsidR="00FF589C" w:rsidRPr="00FF589C">
        <w:rPr>
          <w:rFonts w:ascii="メイリオ" w:eastAsia="メイリオ" w:hAnsi="メイリオ" w:hint="eastAsia"/>
        </w:rPr>
        <w:t>支援区分の見直し等により</w:t>
      </w:r>
      <w:r w:rsidR="00BB540D" w:rsidRPr="00FF589C">
        <w:rPr>
          <w:rFonts w:ascii="メイリオ" w:eastAsia="メイリオ" w:hAnsi="メイリオ" w:hint="eastAsia"/>
        </w:rPr>
        <w:t>振込</w:t>
      </w:r>
      <w:r w:rsidR="00BB540D">
        <w:rPr>
          <w:rFonts w:ascii="メイリオ" w:eastAsia="メイリオ" w:hAnsi="メイリオ" w:hint="eastAsia"/>
        </w:rPr>
        <w:t>状態</w:t>
      </w:r>
      <w:r w:rsidR="00BB540D" w:rsidRPr="00FF589C">
        <w:rPr>
          <w:rFonts w:ascii="メイリオ" w:eastAsia="メイリオ" w:hAnsi="メイリオ" w:hint="eastAsia"/>
        </w:rPr>
        <w:t>が</w:t>
      </w:r>
      <w:r w:rsidR="00FF589C" w:rsidRPr="00FF589C">
        <w:rPr>
          <w:rFonts w:ascii="メイリオ" w:eastAsia="メイリオ" w:hAnsi="メイリオ" w:hint="eastAsia"/>
        </w:rPr>
        <w:t>「保留中」「停止中」であっても、</w:t>
      </w:r>
      <w:r w:rsidR="00627FF4" w:rsidRPr="00FF589C">
        <w:rPr>
          <w:rFonts w:ascii="メイリオ" w:eastAsia="メイリオ" w:hAnsi="メイリオ" w:hint="eastAsia"/>
        </w:rPr>
        <w:t>継続願</w:t>
      </w:r>
      <w:r w:rsidR="00FF589C" w:rsidRPr="00FF589C">
        <w:rPr>
          <w:rFonts w:ascii="メイリオ" w:eastAsia="メイリオ" w:hAnsi="メイリオ" w:hint="eastAsia"/>
        </w:rPr>
        <w:t>提出の対象です。</w:t>
      </w:r>
    </w:p>
    <w:p w14:paraId="5DAB6C7B" w14:textId="77777777" w:rsidR="00F05704" w:rsidRPr="000E7EA2" w:rsidRDefault="00F05704" w:rsidP="17196E6E">
      <w:pPr>
        <w:snapToGrid w:val="0"/>
        <w:rPr>
          <w:rFonts w:ascii="メイリオ" w:eastAsia="メイリオ" w:hAnsi="メイリオ"/>
          <w:sz w:val="14"/>
          <w:szCs w:val="14"/>
        </w:rPr>
      </w:pPr>
    </w:p>
    <w:p w14:paraId="7D409186" w14:textId="77777777"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併用貸与者について</w:t>
      </w:r>
    </w:p>
    <w:p w14:paraId="3C300E9C" w14:textId="77777777" w:rsidR="0052567B" w:rsidRPr="00DD031E" w:rsidRDefault="00F05704" w:rsidP="00DD031E">
      <w:pPr>
        <w:snapToGrid w:val="0"/>
        <w:ind w:firstLineChars="100" w:firstLine="210"/>
        <w:rPr>
          <w:rFonts w:ascii="メイリオ" w:eastAsia="メイリオ" w:hAnsi="メイリオ"/>
        </w:rPr>
      </w:pPr>
      <w:r w:rsidRPr="00DD031E">
        <w:rPr>
          <w:rFonts w:ascii="メイリオ" w:eastAsia="メイリオ" w:hAnsi="メイリオ" w:hint="eastAsia"/>
        </w:rPr>
        <w:t>貸与奨学金（第</w:t>
      </w:r>
      <w:r w:rsidR="0052567B" w:rsidRPr="00DD031E">
        <w:rPr>
          <w:rFonts w:ascii="メイリオ" w:eastAsia="メイリオ" w:hAnsi="メイリオ" w:hint="eastAsia"/>
        </w:rPr>
        <w:t>一種と</w:t>
      </w:r>
      <w:r w:rsidRPr="00DD031E">
        <w:rPr>
          <w:rFonts w:ascii="メイリオ" w:eastAsia="メイリオ" w:hAnsi="メイリオ" w:hint="eastAsia"/>
        </w:rPr>
        <w:t>第</w:t>
      </w:r>
      <w:r w:rsidR="0052567B" w:rsidRPr="00DD031E">
        <w:rPr>
          <w:rFonts w:ascii="メイリオ" w:eastAsia="メイリオ" w:hAnsi="メイリオ" w:hint="eastAsia"/>
        </w:rPr>
        <w:t>二種</w:t>
      </w:r>
      <w:r w:rsidRPr="00DD031E">
        <w:rPr>
          <w:rFonts w:ascii="メイリオ" w:eastAsia="メイリオ" w:hAnsi="メイリオ" w:hint="eastAsia"/>
        </w:rPr>
        <w:t>）の貸与を受けている方は、それぞれの奨学生番号ごとに</w:t>
      </w:r>
      <w:r w:rsidR="0052567B" w:rsidRPr="00DD031E">
        <w:rPr>
          <w:rFonts w:ascii="メイリオ" w:eastAsia="メイリオ" w:hAnsi="メイリオ" w:hint="eastAsia"/>
        </w:rPr>
        <w:t>継続願の入力が必要です。忘れずに手続をしてください。</w:t>
      </w:r>
    </w:p>
    <w:p w14:paraId="02EB378F" w14:textId="77777777" w:rsidR="0052567B" w:rsidRPr="00B04A0D" w:rsidRDefault="0052567B" w:rsidP="17196E6E">
      <w:pPr>
        <w:snapToGrid w:val="0"/>
        <w:rPr>
          <w:rFonts w:ascii="メイリオ" w:eastAsia="メイリオ" w:hAnsi="メイリオ"/>
          <w:sz w:val="14"/>
          <w:szCs w:val="14"/>
        </w:rPr>
      </w:pPr>
    </w:p>
    <w:p w14:paraId="3CD0E6F0" w14:textId="77777777"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送信後の受付番号について</w:t>
      </w:r>
    </w:p>
    <w:p w14:paraId="1C5C1CC7" w14:textId="77777777" w:rsidR="00966DE1" w:rsidRDefault="0052567B" w:rsidP="00966DE1">
      <w:pPr>
        <w:snapToGrid w:val="0"/>
        <w:ind w:firstLineChars="100" w:firstLine="210"/>
        <w:jc w:val="distribute"/>
        <w:rPr>
          <w:rFonts w:ascii="メイリオ" w:eastAsia="メイリオ" w:hAnsi="メイリオ"/>
        </w:rPr>
      </w:pPr>
      <w:r w:rsidRPr="00DD031E">
        <w:rPr>
          <w:rFonts w:ascii="メイリオ" w:eastAsia="メイリオ" w:hAnsi="メイリオ" w:hint="eastAsia"/>
        </w:rPr>
        <w:t>全ての項目を入力し情報を送信すると、</w:t>
      </w:r>
      <w:r w:rsidR="00B04A0D" w:rsidRPr="00DD031E">
        <w:rPr>
          <w:rFonts w:ascii="メイリオ" w:eastAsia="メイリオ" w:hAnsi="メイリオ" w:hint="eastAsia"/>
        </w:rPr>
        <w:t>１６</w:t>
      </w:r>
      <w:r w:rsidRPr="00DD031E">
        <w:rPr>
          <w:rFonts w:ascii="メイリオ" w:eastAsia="メイリオ" w:hAnsi="メイリオ" w:hint="eastAsia"/>
        </w:rPr>
        <w:t>桁の受付番号が表示されますので必ずメモを取るなど</w:t>
      </w:r>
    </w:p>
    <w:p w14:paraId="60993D7C" w14:textId="77777777" w:rsidR="0052567B" w:rsidRPr="00DD031E" w:rsidRDefault="0052567B" w:rsidP="00966DE1">
      <w:pPr>
        <w:snapToGrid w:val="0"/>
        <w:rPr>
          <w:rFonts w:ascii="メイリオ" w:eastAsia="メイリオ" w:hAnsi="メイリオ"/>
        </w:rPr>
      </w:pPr>
      <w:r w:rsidRPr="00DD031E">
        <w:rPr>
          <w:rFonts w:ascii="メイリオ" w:eastAsia="メイリオ" w:hAnsi="メイリオ" w:hint="eastAsia"/>
        </w:rPr>
        <w:t>して控えてください。また</w:t>
      </w:r>
      <w:r w:rsidR="00B04A0D" w:rsidRPr="00DD031E">
        <w:rPr>
          <w:rFonts w:ascii="メイリオ" w:eastAsia="メイリオ" w:hAnsi="メイリオ" w:hint="eastAsia"/>
        </w:rPr>
        <w:t>１</w:t>
      </w:r>
      <w:r w:rsidRPr="00DD031E">
        <w:rPr>
          <w:rFonts w:ascii="メイリオ" w:eastAsia="メイリオ" w:hAnsi="メイリオ" w:hint="eastAsia"/>
        </w:rPr>
        <w:t>度送信した情報は訂正が出来ませんので、</w:t>
      </w:r>
      <w:r w:rsidR="008377ED" w:rsidRPr="00DD031E">
        <w:rPr>
          <w:rFonts w:ascii="メイリオ" w:eastAsia="メイリオ" w:hAnsi="メイリオ" w:hint="eastAsia"/>
        </w:rPr>
        <w:t>必ず</w:t>
      </w:r>
      <w:r w:rsidRPr="00DD031E">
        <w:rPr>
          <w:rFonts w:ascii="メイリオ" w:eastAsia="メイリオ" w:hAnsi="メイリオ" w:hint="eastAsia"/>
        </w:rPr>
        <w:t>送信前に内容を確認してください。</w:t>
      </w:r>
    </w:p>
    <w:p w14:paraId="6A05A809" w14:textId="77777777" w:rsidR="0052567B" w:rsidRPr="00B04A0D" w:rsidRDefault="0052567B" w:rsidP="17196E6E">
      <w:pPr>
        <w:snapToGrid w:val="0"/>
        <w:rPr>
          <w:rFonts w:ascii="メイリオ" w:eastAsia="メイリオ" w:hAnsi="メイリオ"/>
          <w:sz w:val="14"/>
          <w:szCs w:val="14"/>
        </w:rPr>
      </w:pPr>
    </w:p>
    <w:p w14:paraId="685781A3" w14:textId="77777777"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適格認定について</w:t>
      </w:r>
    </w:p>
    <w:p w14:paraId="340762B2" w14:textId="77777777" w:rsidR="0052567B" w:rsidRPr="004F62AB" w:rsidRDefault="0052567B" w:rsidP="00DD031E">
      <w:pPr>
        <w:pStyle w:val="a3"/>
        <w:snapToGrid w:val="0"/>
        <w:ind w:leftChars="0" w:left="0" w:firstLineChars="100" w:firstLine="210"/>
        <w:rPr>
          <w:rFonts w:ascii="メイリオ" w:eastAsia="メイリオ" w:hAnsi="メイリオ"/>
        </w:rPr>
      </w:pPr>
      <w:r w:rsidRPr="004F62AB">
        <w:rPr>
          <w:rFonts w:ascii="メイリオ" w:eastAsia="メイリオ" w:hAnsi="メイリオ" w:hint="eastAsia"/>
        </w:rPr>
        <w:t>皆さんから継続願が提出された後、大学において</w:t>
      </w:r>
      <w:r w:rsidRPr="008377ED">
        <w:rPr>
          <w:rFonts w:ascii="メイリオ" w:eastAsia="メイリオ" w:hAnsi="メイリオ" w:hint="eastAsia"/>
          <w:b/>
          <w:color w:val="C00000"/>
        </w:rPr>
        <w:t>「適格認定」</w:t>
      </w:r>
      <w:r w:rsidRPr="004F62AB">
        <w:rPr>
          <w:rFonts w:ascii="メイリオ" w:eastAsia="メイリオ" w:hAnsi="メイリオ" w:hint="eastAsia"/>
        </w:rPr>
        <w:t>を行います。皆さんの人物・学業・経済状況を確認し、</w:t>
      </w:r>
      <w:r w:rsidR="00A06D85">
        <w:rPr>
          <w:rFonts w:ascii="メイリオ" w:eastAsia="メイリオ" w:hAnsi="メイリオ" w:hint="eastAsia"/>
          <w:b/>
          <w:color w:val="C00000"/>
        </w:rPr>
        <w:t>「継続」「警告」</w:t>
      </w:r>
      <w:r w:rsidR="00966DE1">
        <w:rPr>
          <w:rFonts w:ascii="メイリオ" w:eastAsia="メイリオ" w:hAnsi="メイリオ" w:hint="eastAsia"/>
          <w:b/>
          <w:color w:val="C00000"/>
        </w:rPr>
        <w:t>「</w:t>
      </w:r>
      <w:r w:rsidRPr="008377ED">
        <w:rPr>
          <w:rFonts w:ascii="メイリオ" w:eastAsia="メイリオ" w:hAnsi="メイリオ" w:hint="eastAsia"/>
          <w:b/>
          <w:color w:val="C00000"/>
        </w:rPr>
        <w:t>廃止」</w:t>
      </w:r>
      <w:r w:rsidRPr="004F62AB">
        <w:rPr>
          <w:rFonts w:ascii="メイリオ" w:eastAsia="メイリオ" w:hAnsi="メイリオ" w:hint="eastAsia"/>
        </w:rPr>
        <w:t>の</w:t>
      </w:r>
      <w:r w:rsidR="00B04A0D">
        <w:rPr>
          <w:rFonts w:ascii="メイリオ" w:eastAsia="メイリオ" w:hAnsi="メイリオ" w:hint="eastAsia"/>
        </w:rPr>
        <w:t>いずれ</w:t>
      </w:r>
      <w:r w:rsidRPr="004F62AB">
        <w:rPr>
          <w:rFonts w:ascii="メイリオ" w:eastAsia="メイリオ" w:hAnsi="メイリオ" w:hint="eastAsia"/>
        </w:rPr>
        <w:t>かに認定します。</w:t>
      </w:r>
      <w:r w:rsidR="00B04A0D">
        <w:rPr>
          <w:rFonts w:ascii="メイリオ" w:eastAsia="メイリオ" w:hAnsi="メイリオ" w:hint="eastAsia"/>
        </w:rPr>
        <w:t>認定</w:t>
      </w:r>
      <w:r w:rsidRPr="004F62AB">
        <w:rPr>
          <w:rFonts w:ascii="メイリオ" w:eastAsia="メイリオ" w:hAnsi="メイリオ" w:hint="eastAsia"/>
        </w:rPr>
        <w:t>区分によっては</w:t>
      </w:r>
      <w:r w:rsidR="00B04A0D">
        <w:rPr>
          <w:rFonts w:ascii="メイリオ" w:eastAsia="メイリオ" w:hAnsi="メイリオ" w:hint="eastAsia"/>
        </w:rPr>
        <w:t>、</w:t>
      </w:r>
      <w:r w:rsidRPr="004F62AB">
        <w:rPr>
          <w:rFonts w:ascii="メイリオ" w:eastAsia="メイリオ" w:hAnsi="メイリオ" w:hint="eastAsia"/>
        </w:rPr>
        <w:t>４月以降の奨学金が入金されません。</w:t>
      </w:r>
      <w:r w:rsidR="00BB061D">
        <w:rPr>
          <w:rFonts w:ascii="メイリオ" w:eastAsia="メイリオ" w:hAnsi="メイリオ" w:hint="eastAsia"/>
        </w:rPr>
        <w:t>なお</w:t>
      </w:r>
      <w:r w:rsidR="00966DE1">
        <w:rPr>
          <w:rFonts w:ascii="メイリオ" w:eastAsia="メイリオ" w:hAnsi="メイリオ" w:hint="eastAsia"/>
        </w:rPr>
        <w:t>、</w:t>
      </w:r>
      <w:r w:rsidR="00BB061D">
        <w:rPr>
          <w:rFonts w:ascii="メイリオ" w:eastAsia="メイリオ" w:hAnsi="メイリオ" w:hint="eastAsia"/>
        </w:rPr>
        <w:t>給付奨学金は貸与奨学金より厳しい基準で認定されます。</w:t>
      </w:r>
    </w:p>
    <w:p w14:paraId="5A39BBE3" w14:textId="77777777" w:rsidR="00B04A0D" w:rsidRPr="00B04A0D" w:rsidRDefault="00B04A0D" w:rsidP="17196E6E">
      <w:pPr>
        <w:snapToGrid w:val="0"/>
        <w:rPr>
          <w:rFonts w:ascii="メイリオ" w:eastAsia="メイリオ" w:hAnsi="メイリオ"/>
          <w:sz w:val="14"/>
          <w:szCs w:val="14"/>
        </w:rPr>
      </w:pPr>
    </w:p>
    <w:p w14:paraId="00CDADDA" w14:textId="77777777"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入力期限について</w:t>
      </w:r>
    </w:p>
    <w:p w14:paraId="0659F410" w14:textId="3141E6CC" w:rsidR="0052567B" w:rsidRPr="00DD031E" w:rsidRDefault="00660DF5" w:rsidP="00DD031E">
      <w:pPr>
        <w:snapToGrid w:val="0"/>
        <w:ind w:firstLineChars="100" w:firstLine="210"/>
        <w:rPr>
          <w:rFonts w:ascii="メイリオ" w:eastAsia="メイリオ" w:hAnsi="メイリオ"/>
        </w:rPr>
      </w:pPr>
      <w:r w:rsidRPr="00DD031E">
        <w:rPr>
          <w:rFonts w:ascii="メイリオ" w:eastAsia="メイリオ" w:hAnsi="メイリオ" w:hint="eastAsia"/>
          <w:b/>
          <w:color w:val="C00000"/>
          <w:u w:val="single"/>
        </w:rPr>
        <w:t>２０２</w:t>
      </w:r>
      <w:r w:rsidR="004D4665">
        <w:rPr>
          <w:rFonts w:ascii="メイリオ" w:eastAsia="メイリオ" w:hAnsi="メイリオ" w:hint="eastAsia"/>
          <w:b/>
          <w:color w:val="C00000"/>
          <w:u w:val="single"/>
        </w:rPr>
        <w:t>３</w:t>
      </w:r>
      <w:r w:rsidRPr="00DD031E">
        <w:rPr>
          <w:rFonts w:ascii="メイリオ" w:eastAsia="メイリオ" w:hAnsi="メイリオ" w:hint="eastAsia"/>
          <w:b/>
          <w:color w:val="C00000"/>
          <w:u w:val="single"/>
        </w:rPr>
        <w:t>年１月</w:t>
      </w:r>
      <w:r w:rsidR="004D4665">
        <w:rPr>
          <w:rFonts w:ascii="メイリオ" w:eastAsia="メイリオ" w:hAnsi="メイリオ" w:hint="eastAsia"/>
          <w:b/>
          <w:color w:val="C00000"/>
          <w:u w:val="single"/>
        </w:rPr>
        <w:t>３１</w:t>
      </w:r>
      <w:r w:rsidRPr="00DD031E">
        <w:rPr>
          <w:rFonts w:ascii="メイリオ" w:eastAsia="メイリオ" w:hAnsi="メイリオ" w:hint="eastAsia"/>
          <w:b/>
          <w:color w:val="C00000"/>
          <w:u w:val="single"/>
        </w:rPr>
        <w:t>日（</w:t>
      </w:r>
      <w:r w:rsidR="004D4665">
        <w:rPr>
          <w:rFonts w:ascii="メイリオ" w:eastAsia="メイリオ" w:hAnsi="メイリオ" w:hint="eastAsia"/>
          <w:b/>
          <w:color w:val="C00000"/>
          <w:u w:val="single"/>
        </w:rPr>
        <w:t>火</w:t>
      </w:r>
      <w:r w:rsidR="0052567B" w:rsidRPr="00DD031E">
        <w:rPr>
          <w:rFonts w:ascii="メイリオ" w:eastAsia="メイリオ" w:hAnsi="メイリオ" w:hint="eastAsia"/>
          <w:b/>
          <w:color w:val="C00000"/>
          <w:u w:val="single"/>
        </w:rPr>
        <w:t>）２５:００まで</w:t>
      </w:r>
      <w:r w:rsidR="0052567B" w:rsidRPr="00DD031E">
        <w:rPr>
          <w:rFonts w:ascii="メイリオ" w:eastAsia="メイリオ" w:hAnsi="メイリオ" w:hint="eastAsia"/>
        </w:rPr>
        <w:t>（年末年始は入力が出来ません</w:t>
      </w:r>
      <w:r w:rsidR="008377ED" w:rsidRPr="00DD031E">
        <w:rPr>
          <w:rFonts w:ascii="メイリオ" w:eastAsia="メイリオ" w:hAnsi="メイリオ" w:hint="eastAsia"/>
        </w:rPr>
        <w:t>。</w:t>
      </w:r>
      <w:r w:rsidR="0052567B" w:rsidRPr="00DD031E">
        <w:rPr>
          <w:rFonts w:ascii="メイリオ" w:eastAsia="メイリオ" w:hAnsi="メイリオ" w:hint="eastAsia"/>
        </w:rPr>
        <w:t>）</w:t>
      </w:r>
    </w:p>
    <w:p w14:paraId="10A18F26" w14:textId="77777777" w:rsidR="003942B1" w:rsidRPr="00DD031E" w:rsidRDefault="00B04A0D" w:rsidP="00DD031E">
      <w:pPr>
        <w:snapToGrid w:val="0"/>
        <w:ind w:firstLineChars="100" w:firstLine="210"/>
        <w:rPr>
          <w:rFonts w:ascii="メイリオ" w:eastAsia="メイリオ" w:hAnsi="メイリオ"/>
        </w:rPr>
      </w:pPr>
      <w:r w:rsidRPr="4593FC32">
        <w:rPr>
          <w:rFonts w:ascii="メイリオ" w:eastAsia="メイリオ" w:hAnsi="メイリオ"/>
        </w:rPr>
        <w:t>指定</w:t>
      </w:r>
      <w:r w:rsidR="0052567B" w:rsidRPr="4593FC32">
        <w:rPr>
          <w:rFonts w:ascii="メイリオ" w:eastAsia="メイリオ" w:hAnsi="メイリオ"/>
        </w:rPr>
        <w:t>期限までに手続が完了されない場合</w:t>
      </w:r>
      <w:r w:rsidRPr="4593FC32">
        <w:rPr>
          <w:rFonts w:ascii="メイリオ" w:eastAsia="メイリオ" w:hAnsi="メイリオ"/>
        </w:rPr>
        <w:t>は</w:t>
      </w:r>
      <w:r w:rsidR="0052567B" w:rsidRPr="4593FC32">
        <w:rPr>
          <w:rFonts w:ascii="メイリオ" w:eastAsia="メイリオ" w:hAnsi="メイリオ"/>
        </w:rPr>
        <w:t>、自動的に「廃止」となります。</w:t>
      </w:r>
      <w:r w:rsidRPr="4593FC32">
        <w:rPr>
          <w:rFonts w:ascii="メイリオ" w:eastAsia="メイリオ" w:hAnsi="メイリオ"/>
        </w:rPr>
        <w:t>「</w:t>
      </w:r>
      <w:r w:rsidR="0052567B" w:rsidRPr="4593FC32">
        <w:rPr>
          <w:rFonts w:ascii="メイリオ" w:eastAsia="メイリオ" w:hAnsi="メイリオ"/>
        </w:rPr>
        <w:t>復活</w:t>
      </w:r>
      <w:r w:rsidRPr="4593FC32">
        <w:rPr>
          <w:rFonts w:ascii="メイリオ" w:eastAsia="メイリオ" w:hAnsi="メイリオ"/>
        </w:rPr>
        <w:t>」</w:t>
      </w:r>
      <w:r w:rsidR="0052567B" w:rsidRPr="4593FC32">
        <w:rPr>
          <w:rFonts w:ascii="メイリオ" w:eastAsia="メイリオ" w:hAnsi="メイリオ"/>
        </w:rPr>
        <w:t>は出来ませんので、十分ご注意ください。</w:t>
      </w:r>
    </w:p>
    <w:p w14:paraId="41C8F396" w14:textId="5A6D10F5" w:rsidR="000D5F44" w:rsidRDefault="000D5F44" w:rsidP="17196E6E">
      <w:pPr>
        <w:snapToGrid w:val="0"/>
        <w:ind w:firstLineChars="100" w:firstLine="140"/>
        <w:rPr>
          <w:rFonts w:ascii="メイリオ" w:eastAsia="メイリオ" w:hAnsi="メイリオ"/>
          <w:sz w:val="14"/>
          <w:szCs w:val="14"/>
        </w:rPr>
      </w:pPr>
    </w:p>
    <w:p w14:paraId="2E44F8D4" w14:textId="5BA3784B" w:rsidR="00D20A99" w:rsidRPr="00D20A99" w:rsidRDefault="00D20A99" w:rsidP="00D20A99">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Pr>
          <w:rFonts w:ascii="メイリオ" w:eastAsia="メイリオ" w:hAnsi="メイリオ" w:hint="eastAsia"/>
          <w:b/>
        </w:rPr>
        <w:t>授業料減免につい</w:t>
      </w:r>
      <w:r w:rsidRPr="004F62AB">
        <w:rPr>
          <w:rFonts w:ascii="メイリオ" w:eastAsia="メイリオ" w:hAnsi="メイリオ" w:hint="eastAsia"/>
          <w:b/>
        </w:rPr>
        <w:t>て</w:t>
      </w:r>
    </w:p>
    <w:p w14:paraId="3DB83AE4" w14:textId="33EA4A98" w:rsidR="74E80DE7" w:rsidRDefault="74E80DE7" w:rsidP="00D20A99">
      <w:pPr>
        <w:snapToGrid w:val="0"/>
        <w:rPr>
          <w:rFonts w:ascii="メイリオ" w:eastAsia="メイリオ" w:hAnsi="メイリオ"/>
        </w:rPr>
      </w:pPr>
      <w:r w:rsidRPr="3AADADE9">
        <w:rPr>
          <w:rFonts w:ascii="メイリオ" w:eastAsia="メイリオ" w:hAnsi="メイリオ"/>
        </w:rPr>
        <w:t xml:space="preserve">　本給付奨学生は、</w:t>
      </w:r>
      <w:r w:rsidR="27E493CD" w:rsidRPr="3AADADE9">
        <w:rPr>
          <w:rFonts w:ascii="メイリオ" w:eastAsia="メイリオ" w:hAnsi="メイリオ"/>
        </w:rPr>
        <w:t>202</w:t>
      </w:r>
      <w:r w:rsidR="00EE4131">
        <w:rPr>
          <w:rFonts w:ascii="メイリオ" w:eastAsia="メイリオ" w:hAnsi="メイリオ" w:hint="eastAsia"/>
        </w:rPr>
        <w:t>3</w:t>
      </w:r>
      <w:r w:rsidR="27E493CD" w:rsidRPr="3AADADE9">
        <w:rPr>
          <w:rFonts w:ascii="メイリオ" w:eastAsia="メイリオ" w:hAnsi="メイリオ"/>
        </w:rPr>
        <w:t>年度前期も</w:t>
      </w:r>
      <w:r w:rsidRPr="3AADADE9">
        <w:rPr>
          <w:rFonts w:ascii="メイリオ" w:eastAsia="メイリオ" w:hAnsi="メイリオ"/>
        </w:rPr>
        <w:t>高等教育修学支援制度に係る授業料減免の継続</w:t>
      </w:r>
      <w:r w:rsidR="635C3AEC" w:rsidRPr="3AADADE9">
        <w:rPr>
          <w:rFonts w:ascii="メイリオ" w:eastAsia="メイリオ" w:hAnsi="メイリオ"/>
        </w:rPr>
        <w:t>を希望する場合は、</w:t>
      </w:r>
      <w:r w:rsidR="0D9D9CCA" w:rsidRPr="3AADADE9">
        <w:rPr>
          <w:rFonts w:ascii="メイリオ" w:eastAsia="メイリオ" w:hAnsi="メイリオ"/>
        </w:rPr>
        <w:t>「大学等における修学の支援に関する法律による授業料</w:t>
      </w:r>
      <w:bookmarkStart w:id="0" w:name="_GoBack"/>
      <w:bookmarkEnd w:id="0"/>
      <w:r w:rsidR="0D9D9CCA" w:rsidRPr="3AADADE9">
        <w:rPr>
          <w:rFonts w:ascii="メイリオ" w:eastAsia="メイリオ" w:hAnsi="メイリオ"/>
        </w:rPr>
        <w:t>減免の対象者の認定の</w:t>
      </w:r>
      <w:r w:rsidR="07370666" w:rsidRPr="3AADADE9">
        <w:rPr>
          <w:rFonts w:ascii="メイリオ" w:eastAsia="メイリオ" w:hAnsi="メイリオ"/>
        </w:rPr>
        <w:t>継続に関する申請書（A様式2）」を提出する必要が</w:t>
      </w:r>
      <w:r w:rsidR="00326BB4">
        <w:rPr>
          <w:rFonts w:ascii="メイリオ" w:eastAsia="メイリオ" w:hAnsi="メイリオ" w:hint="eastAsia"/>
        </w:rPr>
        <w:t>あり</w:t>
      </w:r>
      <w:r w:rsidR="07370666" w:rsidRPr="3AADADE9">
        <w:rPr>
          <w:rFonts w:ascii="メイリオ" w:eastAsia="メイリオ" w:hAnsi="メイリオ"/>
        </w:rPr>
        <w:t>ます。</w:t>
      </w:r>
      <w:r w:rsidR="00EE4131" w:rsidRPr="0016443F">
        <w:rPr>
          <w:rFonts w:ascii="メイリオ" w:eastAsia="メイリオ" w:hAnsi="メイリオ" w:hint="eastAsia"/>
          <w:u w:val="single"/>
        </w:rPr>
        <w:t>提出期限は継続願提出と同じ</w:t>
      </w:r>
      <w:r w:rsidR="00EE4131" w:rsidRPr="00DD031E">
        <w:rPr>
          <w:rFonts w:ascii="メイリオ" w:eastAsia="メイリオ" w:hAnsi="メイリオ" w:hint="eastAsia"/>
          <w:b/>
          <w:color w:val="C00000"/>
          <w:u w:val="single"/>
        </w:rPr>
        <w:t>２０２</w:t>
      </w:r>
      <w:r w:rsidR="00EE4131">
        <w:rPr>
          <w:rFonts w:ascii="メイリオ" w:eastAsia="メイリオ" w:hAnsi="メイリオ" w:hint="eastAsia"/>
          <w:b/>
          <w:color w:val="C00000"/>
          <w:u w:val="single"/>
        </w:rPr>
        <w:t>３</w:t>
      </w:r>
      <w:r w:rsidR="00EE4131" w:rsidRPr="00DD031E">
        <w:rPr>
          <w:rFonts w:ascii="メイリオ" w:eastAsia="メイリオ" w:hAnsi="メイリオ" w:hint="eastAsia"/>
          <w:b/>
          <w:color w:val="C00000"/>
          <w:u w:val="single"/>
        </w:rPr>
        <w:t>年１月</w:t>
      </w:r>
      <w:r w:rsidR="00EE4131">
        <w:rPr>
          <w:rFonts w:ascii="メイリオ" w:eastAsia="メイリオ" w:hAnsi="メイリオ" w:hint="eastAsia"/>
          <w:b/>
          <w:color w:val="C00000"/>
          <w:u w:val="single"/>
        </w:rPr>
        <w:t>３１</w:t>
      </w:r>
      <w:r w:rsidR="00EE4131" w:rsidRPr="00DD031E">
        <w:rPr>
          <w:rFonts w:ascii="メイリオ" w:eastAsia="メイリオ" w:hAnsi="メイリオ" w:hint="eastAsia"/>
          <w:b/>
          <w:color w:val="C00000"/>
          <w:u w:val="single"/>
        </w:rPr>
        <w:t>日（</w:t>
      </w:r>
      <w:r w:rsidR="00EE4131">
        <w:rPr>
          <w:rFonts w:ascii="メイリオ" w:eastAsia="メイリオ" w:hAnsi="メイリオ" w:hint="eastAsia"/>
          <w:b/>
          <w:color w:val="C00000"/>
          <w:u w:val="single"/>
        </w:rPr>
        <w:t>火</w:t>
      </w:r>
      <w:r w:rsidR="00EE4131" w:rsidRPr="00DD031E">
        <w:rPr>
          <w:rFonts w:ascii="メイリオ" w:eastAsia="メイリオ" w:hAnsi="メイリオ" w:hint="eastAsia"/>
          <w:b/>
          <w:color w:val="C00000"/>
          <w:u w:val="single"/>
        </w:rPr>
        <w:t>）２５:００まで</w:t>
      </w:r>
      <w:r w:rsidR="001E1550">
        <w:rPr>
          <w:rFonts w:ascii="メイリオ" w:eastAsia="メイリオ" w:hAnsi="メイリオ" w:hint="eastAsia"/>
          <w:b/>
          <w:color w:val="C00000"/>
          <w:u w:val="single"/>
        </w:rPr>
        <w:t>。</w:t>
      </w:r>
    </w:p>
    <w:p w14:paraId="6B14BCB1" w14:textId="5FB57BB2" w:rsidR="4593FC32" w:rsidRDefault="4593FC32" w:rsidP="17196E6E">
      <w:pPr>
        <w:rPr>
          <w:rFonts w:ascii="メイリオ" w:eastAsia="メイリオ" w:hAnsi="メイリオ"/>
          <w:b/>
          <w:bCs/>
          <w:sz w:val="14"/>
          <w:szCs w:val="14"/>
        </w:rPr>
      </w:pPr>
    </w:p>
    <w:p w14:paraId="4AAD786D" w14:textId="77777777" w:rsidR="000D5F44" w:rsidRPr="004F62AB" w:rsidRDefault="00BB061D" w:rsidP="4593FC32">
      <w:pPr>
        <w:pStyle w:val="a3"/>
        <w:numPr>
          <w:ilvl w:val="0"/>
          <w:numId w:val="1"/>
        </w:numPr>
        <w:pBdr>
          <w:left w:val="triple" w:sz="4" w:space="4" w:color="C00000"/>
          <w:bottom w:val="single" w:sz="2" w:space="1" w:color="C00000"/>
        </w:pBdr>
        <w:snapToGrid w:val="0"/>
        <w:ind w:leftChars="0" w:left="357" w:hanging="357"/>
        <w:rPr>
          <w:rFonts w:ascii="メイリオ" w:eastAsia="メイリオ" w:hAnsi="メイリオ"/>
          <w:b/>
          <w:bCs/>
        </w:rPr>
      </w:pPr>
      <w:r w:rsidRPr="17196E6E">
        <w:rPr>
          <w:rFonts w:ascii="メイリオ" w:eastAsia="メイリオ" w:hAnsi="メイリオ"/>
          <w:b/>
          <w:bCs/>
        </w:rPr>
        <w:t>返還が必要になる場合につい</w:t>
      </w:r>
      <w:r w:rsidR="000D5F44" w:rsidRPr="17196E6E">
        <w:rPr>
          <w:rFonts w:ascii="メイリオ" w:eastAsia="メイリオ" w:hAnsi="メイリオ"/>
          <w:b/>
          <w:bCs/>
        </w:rPr>
        <w:t>て</w:t>
      </w:r>
    </w:p>
    <w:p w14:paraId="2A645C30" w14:textId="77777777" w:rsidR="000D5F44" w:rsidRPr="00DD031E" w:rsidRDefault="00DD031E" w:rsidP="00DD031E">
      <w:pPr>
        <w:snapToGrid w:val="0"/>
        <w:ind w:firstLineChars="100" w:firstLine="210"/>
        <w:rPr>
          <w:rFonts w:ascii="メイリオ" w:eastAsia="メイリオ" w:hAnsi="メイリオ"/>
        </w:rPr>
      </w:pPr>
      <w:r w:rsidRPr="00DD031E">
        <w:rPr>
          <w:rFonts w:ascii="メイリオ" w:eastAsia="メイリオ" w:hAnsi="メイリオ" w:hint="eastAsia"/>
        </w:rPr>
        <w:t>国費を財源としている給付奨学金の支給を受ける奨学生は、給付奨学生としての自覚を持って学業に精励しなければなりません。</w:t>
      </w:r>
      <w:r w:rsidR="00BB061D" w:rsidRPr="00DD031E">
        <w:rPr>
          <w:rFonts w:ascii="メイリオ" w:eastAsia="メイリオ" w:hAnsi="メイリオ" w:hint="eastAsia"/>
        </w:rPr>
        <w:t>学業成績が著しく不良である場合は、学年の始期に遡り、給付奨学金の返還を求められる場合があります。</w:t>
      </w:r>
    </w:p>
    <w:p w14:paraId="72A3D3EC" w14:textId="77777777" w:rsidR="000D5F44" w:rsidRPr="000D5F44" w:rsidRDefault="000D5F44" w:rsidP="0052567B">
      <w:pPr>
        <w:pStyle w:val="a3"/>
        <w:snapToGrid w:val="0"/>
        <w:ind w:leftChars="0" w:left="360" w:firstLineChars="100" w:firstLine="210"/>
        <w:rPr>
          <w:rFonts w:ascii="メイリオ" w:eastAsia="メイリオ" w:hAnsi="メイリオ"/>
        </w:rPr>
      </w:pPr>
    </w:p>
    <w:sectPr w:rsidR="000D5F44" w:rsidRPr="000D5F44" w:rsidSect="00DC31FD">
      <w:pgSz w:w="11906" w:h="16838" w:code="9"/>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59BE" w14:textId="77777777" w:rsidR="008E290A" w:rsidRDefault="008E290A" w:rsidP="0045403E">
      <w:r>
        <w:separator/>
      </w:r>
    </w:p>
  </w:endnote>
  <w:endnote w:type="continuationSeparator" w:id="0">
    <w:p w14:paraId="2C08C88A" w14:textId="77777777" w:rsidR="008E290A" w:rsidRDefault="008E290A" w:rsidP="0045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FBE9" w14:textId="77777777" w:rsidR="008E290A" w:rsidRDefault="008E290A" w:rsidP="0045403E">
      <w:r>
        <w:separator/>
      </w:r>
    </w:p>
  </w:footnote>
  <w:footnote w:type="continuationSeparator" w:id="0">
    <w:p w14:paraId="72132D16" w14:textId="77777777" w:rsidR="008E290A" w:rsidRDefault="008E290A" w:rsidP="0045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3088"/>
    <w:multiLevelType w:val="hybridMultilevel"/>
    <w:tmpl w:val="1418482E"/>
    <w:lvl w:ilvl="0" w:tplc="659A4C3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7B"/>
    <w:rsid w:val="00001A02"/>
    <w:rsid w:val="00013C8E"/>
    <w:rsid w:val="0005202C"/>
    <w:rsid w:val="000A56C7"/>
    <w:rsid w:val="000D5F44"/>
    <w:rsid w:val="000E7EA2"/>
    <w:rsid w:val="00116405"/>
    <w:rsid w:val="0016443F"/>
    <w:rsid w:val="001E1550"/>
    <w:rsid w:val="001F2A5E"/>
    <w:rsid w:val="00252DE7"/>
    <w:rsid w:val="002B32CB"/>
    <w:rsid w:val="00326BB4"/>
    <w:rsid w:val="003942B1"/>
    <w:rsid w:val="003B2610"/>
    <w:rsid w:val="0044282D"/>
    <w:rsid w:val="0045403E"/>
    <w:rsid w:val="004C1B30"/>
    <w:rsid w:val="004D4665"/>
    <w:rsid w:val="004F62AB"/>
    <w:rsid w:val="005104A1"/>
    <w:rsid w:val="0052567B"/>
    <w:rsid w:val="005E0E3E"/>
    <w:rsid w:val="00621D86"/>
    <w:rsid w:val="00627FF4"/>
    <w:rsid w:val="00660DF5"/>
    <w:rsid w:val="00705424"/>
    <w:rsid w:val="008377ED"/>
    <w:rsid w:val="008E290A"/>
    <w:rsid w:val="00966DE1"/>
    <w:rsid w:val="009A37BF"/>
    <w:rsid w:val="009E7206"/>
    <w:rsid w:val="00A06D85"/>
    <w:rsid w:val="00A572A1"/>
    <w:rsid w:val="00AA401F"/>
    <w:rsid w:val="00AC2670"/>
    <w:rsid w:val="00AD4BA5"/>
    <w:rsid w:val="00B04A0D"/>
    <w:rsid w:val="00B34D0A"/>
    <w:rsid w:val="00BB061D"/>
    <w:rsid w:val="00BB540D"/>
    <w:rsid w:val="00CC1E9F"/>
    <w:rsid w:val="00CD03DA"/>
    <w:rsid w:val="00D20A99"/>
    <w:rsid w:val="00D35BBB"/>
    <w:rsid w:val="00D503CB"/>
    <w:rsid w:val="00DC31FD"/>
    <w:rsid w:val="00DD031E"/>
    <w:rsid w:val="00E54028"/>
    <w:rsid w:val="00E77247"/>
    <w:rsid w:val="00EE4131"/>
    <w:rsid w:val="00F05704"/>
    <w:rsid w:val="00FF589C"/>
    <w:rsid w:val="07370666"/>
    <w:rsid w:val="0D9D9CCA"/>
    <w:rsid w:val="0E995C52"/>
    <w:rsid w:val="1439F754"/>
    <w:rsid w:val="15D5C7B5"/>
    <w:rsid w:val="17196E6E"/>
    <w:rsid w:val="1BC18D26"/>
    <w:rsid w:val="1D82F5A4"/>
    <w:rsid w:val="27E493CD"/>
    <w:rsid w:val="3AADADE9"/>
    <w:rsid w:val="3EEFA94A"/>
    <w:rsid w:val="408B79AB"/>
    <w:rsid w:val="455EEACE"/>
    <w:rsid w:val="4593FC32"/>
    <w:rsid w:val="47E646BD"/>
    <w:rsid w:val="4FA65D92"/>
    <w:rsid w:val="5D6CACFD"/>
    <w:rsid w:val="5F1473EE"/>
    <w:rsid w:val="635C3AEC"/>
    <w:rsid w:val="74E8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6CAF7F"/>
  <w15:chartTrackingRefBased/>
  <w15:docId w15:val="{EDBA52B6-DDED-42FE-8119-E97A765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67B"/>
    <w:pPr>
      <w:ind w:leftChars="400" w:left="840"/>
    </w:pPr>
  </w:style>
  <w:style w:type="paragraph" w:styleId="a4">
    <w:name w:val="header"/>
    <w:basedOn w:val="a"/>
    <w:link w:val="a5"/>
    <w:uiPriority w:val="99"/>
    <w:unhideWhenUsed/>
    <w:rsid w:val="0045403E"/>
    <w:pPr>
      <w:tabs>
        <w:tab w:val="center" w:pos="4252"/>
        <w:tab w:val="right" w:pos="8504"/>
      </w:tabs>
      <w:snapToGrid w:val="0"/>
    </w:pPr>
  </w:style>
  <w:style w:type="character" w:customStyle="1" w:styleId="a5">
    <w:name w:val="ヘッダー (文字)"/>
    <w:basedOn w:val="a0"/>
    <w:link w:val="a4"/>
    <w:uiPriority w:val="99"/>
    <w:rsid w:val="0045403E"/>
  </w:style>
  <w:style w:type="paragraph" w:styleId="a6">
    <w:name w:val="footer"/>
    <w:basedOn w:val="a"/>
    <w:link w:val="a7"/>
    <w:uiPriority w:val="99"/>
    <w:unhideWhenUsed/>
    <w:rsid w:val="0045403E"/>
    <w:pPr>
      <w:tabs>
        <w:tab w:val="center" w:pos="4252"/>
        <w:tab w:val="right" w:pos="8504"/>
      </w:tabs>
      <w:snapToGrid w:val="0"/>
    </w:pPr>
  </w:style>
  <w:style w:type="character" w:customStyle="1" w:styleId="a7">
    <w:name w:val="フッター (文字)"/>
    <w:basedOn w:val="a0"/>
    <w:link w:val="a6"/>
    <w:uiPriority w:val="99"/>
    <w:rsid w:val="0045403E"/>
  </w:style>
  <w:style w:type="paragraph" w:styleId="a8">
    <w:name w:val="Balloon Text"/>
    <w:basedOn w:val="a"/>
    <w:link w:val="a9"/>
    <w:uiPriority w:val="99"/>
    <w:semiHidden/>
    <w:unhideWhenUsed/>
    <w:rsid w:val="00252D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2083C08BBD4B5499BF23B404E6650B2" ma:contentTypeVersion="11" ma:contentTypeDescription="新しいドキュメントを作成します。" ma:contentTypeScope="" ma:versionID="584ee6265412dd446d31a5497ceb5f17">
  <xsd:schema xmlns:xsd="http://www.w3.org/2001/XMLSchema" xmlns:xs="http://www.w3.org/2001/XMLSchema" xmlns:p="http://schemas.microsoft.com/office/2006/metadata/properties" xmlns:ns2="86f89ed8-5ece-4643-a379-163bb6712878" xmlns:ns3="f7aa5e91-8fe2-4deb-bdff-fab4ac58530d" targetNamespace="http://schemas.microsoft.com/office/2006/metadata/properties" ma:root="true" ma:fieldsID="4cf55b82c8d276a5497c6cbf4e3d6468" ns2:_="" ns3:_="">
    <xsd:import namespace="86f89ed8-5ece-4643-a379-163bb6712878"/>
    <xsd:import namespace="f7aa5e91-8fe2-4deb-bdff-fab4ac585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89ed8-5ece-4643-a379-163bb6712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2bdd87ea-315b-4872-a3aa-66c133cb9c5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a5e91-8fe2-4deb-bdff-fab4ac5853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c48f764-d1f5-4c1e-8307-c0d4279b7fec}" ma:internalName="TaxCatchAll" ma:showField="CatchAllData" ma:web="f7aa5e91-8fe2-4deb-bdff-fab4ac585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f89ed8-5ece-4643-a379-163bb6712878">
      <Terms xmlns="http://schemas.microsoft.com/office/infopath/2007/PartnerControls"/>
    </lcf76f155ced4ddcb4097134ff3c332f>
    <TaxCatchAll xmlns="f7aa5e91-8fe2-4deb-bdff-fab4ac58530d" xsi:nil="true"/>
  </documentManagement>
</p:properties>
</file>

<file path=customXml/itemProps1.xml><?xml version="1.0" encoding="utf-8"?>
<ds:datastoreItem xmlns:ds="http://schemas.openxmlformats.org/officeDocument/2006/customXml" ds:itemID="{8FA5AFA4-F23B-4568-BCE3-DB26601BB55B}">
  <ds:schemaRefs>
    <ds:schemaRef ds:uri="http://schemas.microsoft.com/sharepoint/v3/contenttype/forms"/>
  </ds:schemaRefs>
</ds:datastoreItem>
</file>

<file path=customXml/itemProps2.xml><?xml version="1.0" encoding="utf-8"?>
<ds:datastoreItem xmlns:ds="http://schemas.openxmlformats.org/officeDocument/2006/customXml" ds:itemID="{FF9CC035-7D4F-41C3-A9B7-B42BFE28B47F}"/>
</file>

<file path=customXml/itemProps3.xml><?xml version="1.0" encoding="utf-8"?>
<ds:datastoreItem xmlns:ds="http://schemas.openxmlformats.org/officeDocument/2006/customXml" ds:itemID="{7CFDAA22-35DA-49B5-A924-DA6E27343FB1}">
  <ds:schemaRefs>
    <ds:schemaRef ds:uri="86f89ed8-5ece-4643-a379-163bb67128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真弓</dc:creator>
  <cp:keywords/>
  <dc:description/>
  <cp:lastModifiedBy>Kitano, Mayumi</cp:lastModifiedBy>
  <cp:revision>7</cp:revision>
  <cp:lastPrinted>2021-12-08T02:20:00Z</cp:lastPrinted>
  <dcterms:created xsi:type="dcterms:W3CDTF">2022-11-29T03:26:00Z</dcterms:created>
  <dcterms:modified xsi:type="dcterms:W3CDTF">2022-11-29T03:59:00Z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0x01010042083C08BBD4B5499BF23B404E6650B2</vt:lpwstr>
  </property>
</Properties>
</file>